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2E" w:rsidRPr="0045182E" w:rsidRDefault="0045182E" w:rsidP="0045182E">
      <w:pPr>
        <w:pStyle w:val="a4"/>
        <w:ind w:left="5103"/>
        <w:rPr>
          <w:rFonts w:ascii="Times New Roman" w:hAnsi="Times New Roman" w:cs="Times New Roman"/>
          <w:sz w:val="24"/>
          <w:szCs w:val="24"/>
        </w:rPr>
      </w:pPr>
      <w:r w:rsidRPr="0045182E">
        <w:rPr>
          <w:rFonts w:ascii="Times New Roman" w:hAnsi="Times New Roman" w:cs="Times New Roman"/>
          <w:sz w:val="24"/>
          <w:szCs w:val="24"/>
        </w:rPr>
        <w:t xml:space="preserve">Витяг п. 9 Порядку про використання </w:t>
      </w:r>
    </w:p>
    <w:p w:rsidR="0045182E" w:rsidRPr="0045182E" w:rsidRDefault="0045182E" w:rsidP="0045182E">
      <w:pPr>
        <w:pStyle w:val="a4"/>
        <w:ind w:left="5103"/>
        <w:rPr>
          <w:rFonts w:ascii="Times New Roman" w:hAnsi="Times New Roman" w:cs="Times New Roman"/>
          <w:sz w:val="24"/>
          <w:szCs w:val="24"/>
        </w:rPr>
      </w:pPr>
      <w:r>
        <w:rPr>
          <w:rFonts w:ascii="Times New Roman" w:hAnsi="Times New Roman" w:cs="Times New Roman"/>
          <w:sz w:val="24"/>
          <w:szCs w:val="24"/>
        </w:rPr>
        <w:t>к</w:t>
      </w:r>
      <w:r w:rsidRPr="0045182E">
        <w:rPr>
          <w:rFonts w:ascii="Times New Roman" w:hAnsi="Times New Roman" w:cs="Times New Roman"/>
          <w:sz w:val="24"/>
          <w:szCs w:val="24"/>
        </w:rPr>
        <w:t>оштів передбачених у державному</w:t>
      </w:r>
    </w:p>
    <w:p w:rsidR="0045182E" w:rsidRPr="0045182E" w:rsidRDefault="0045182E" w:rsidP="0045182E">
      <w:pPr>
        <w:pStyle w:val="a4"/>
        <w:ind w:left="5103"/>
        <w:rPr>
          <w:rFonts w:ascii="Times New Roman" w:hAnsi="Times New Roman" w:cs="Times New Roman"/>
          <w:sz w:val="24"/>
          <w:szCs w:val="24"/>
        </w:rPr>
      </w:pPr>
      <w:r>
        <w:rPr>
          <w:rFonts w:ascii="Times New Roman" w:hAnsi="Times New Roman" w:cs="Times New Roman"/>
          <w:sz w:val="24"/>
          <w:szCs w:val="24"/>
        </w:rPr>
        <w:t>б</w:t>
      </w:r>
      <w:r w:rsidRPr="0045182E">
        <w:rPr>
          <w:rFonts w:ascii="Times New Roman" w:hAnsi="Times New Roman" w:cs="Times New Roman"/>
          <w:sz w:val="24"/>
          <w:szCs w:val="24"/>
        </w:rPr>
        <w:t>юджеті для підтримки тваринництва,</w:t>
      </w:r>
    </w:p>
    <w:p w:rsidR="0045182E" w:rsidRPr="0045182E" w:rsidRDefault="0045182E" w:rsidP="0045182E">
      <w:pPr>
        <w:pStyle w:val="a4"/>
        <w:ind w:left="5103"/>
        <w:rPr>
          <w:rFonts w:ascii="Times New Roman" w:hAnsi="Times New Roman" w:cs="Times New Roman"/>
          <w:sz w:val="24"/>
          <w:szCs w:val="24"/>
        </w:rPr>
      </w:pPr>
      <w:r>
        <w:rPr>
          <w:rFonts w:ascii="Times New Roman" w:hAnsi="Times New Roman" w:cs="Times New Roman"/>
          <w:sz w:val="24"/>
          <w:szCs w:val="24"/>
        </w:rPr>
        <w:t>з</w:t>
      </w:r>
      <w:r w:rsidRPr="0045182E">
        <w:rPr>
          <w:rFonts w:ascii="Times New Roman" w:hAnsi="Times New Roman" w:cs="Times New Roman"/>
          <w:sz w:val="24"/>
          <w:szCs w:val="24"/>
        </w:rPr>
        <w:t>атвердженого постановою Кабінету</w:t>
      </w:r>
    </w:p>
    <w:p w:rsidR="0045182E" w:rsidRDefault="0045182E" w:rsidP="0045182E">
      <w:pPr>
        <w:pStyle w:val="a4"/>
        <w:ind w:left="5103"/>
        <w:rPr>
          <w:rFonts w:ascii="Times New Roman" w:hAnsi="Times New Roman" w:cs="Times New Roman"/>
          <w:sz w:val="24"/>
          <w:szCs w:val="24"/>
        </w:rPr>
      </w:pPr>
      <w:bookmarkStart w:id="0" w:name="_GoBack"/>
      <w:bookmarkEnd w:id="0"/>
      <w:r>
        <w:rPr>
          <w:rFonts w:ascii="Times New Roman" w:hAnsi="Times New Roman" w:cs="Times New Roman"/>
          <w:sz w:val="24"/>
          <w:szCs w:val="24"/>
        </w:rPr>
        <w:t>Міністрів У</w:t>
      </w:r>
      <w:r w:rsidRPr="0045182E">
        <w:rPr>
          <w:rFonts w:ascii="Times New Roman" w:hAnsi="Times New Roman" w:cs="Times New Roman"/>
          <w:sz w:val="24"/>
          <w:szCs w:val="24"/>
        </w:rPr>
        <w:t>країни від 30.01.2019 № 110</w:t>
      </w:r>
    </w:p>
    <w:p w:rsidR="0045182E" w:rsidRDefault="0045182E" w:rsidP="0045182E">
      <w:pPr>
        <w:pStyle w:val="a4"/>
        <w:ind w:left="5103"/>
        <w:rPr>
          <w:rFonts w:ascii="Times New Roman" w:hAnsi="Times New Roman" w:cs="Times New Roman"/>
          <w:sz w:val="24"/>
          <w:szCs w:val="24"/>
        </w:rPr>
      </w:pPr>
    </w:p>
    <w:p w:rsidR="0045182E" w:rsidRPr="0045182E" w:rsidRDefault="0045182E" w:rsidP="0045182E">
      <w:pPr>
        <w:pStyle w:val="a4"/>
        <w:ind w:left="5103"/>
        <w:rPr>
          <w:rFonts w:ascii="Times New Roman" w:hAnsi="Times New Roman" w:cs="Times New Roman"/>
          <w:sz w:val="24"/>
          <w:szCs w:val="24"/>
        </w:rPr>
      </w:pP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r w:rsidRPr="0045182E">
        <w:rPr>
          <w:color w:val="000000"/>
          <w:sz w:val="28"/>
          <w:szCs w:val="28"/>
        </w:rPr>
        <w:t>9. Дотація за молодняк надається на безповоротній основі фізичним особам за утримання ідентифікованого та зареєстрованого в установленому порядку молодняка великої рогатої худоби до тринадцятимісячного віку, який народився у господарствах фізичних осіб, а також набутий шляхом його переміщення від інших власників.</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 w:name="n78"/>
      <w:bookmarkEnd w:id="1"/>
      <w:r w:rsidRPr="0045182E">
        <w:rPr>
          <w:color w:val="000000"/>
          <w:sz w:val="28"/>
          <w:szCs w:val="28"/>
        </w:rPr>
        <w:t>Дотація за молодняк, який народився у господарствах фізичних осіб, надається за кожні чотири місяці його утримання наростаючим підсумком з урахуванням віку молодняка у розмірі:</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 w:name="n79"/>
      <w:bookmarkEnd w:id="2"/>
      <w:r w:rsidRPr="0045182E">
        <w:rPr>
          <w:color w:val="000000"/>
          <w:sz w:val="28"/>
          <w:szCs w:val="28"/>
        </w:rPr>
        <w:t>у період утримання молодняка віком від одного до п’яти  місяців - 300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3" w:name="n80"/>
      <w:bookmarkEnd w:id="3"/>
      <w:r w:rsidRPr="0045182E">
        <w:rPr>
          <w:color w:val="000000"/>
          <w:sz w:val="28"/>
          <w:szCs w:val="28"/>
        </w:rPr>
        <w:t>у період утримання молодняка віком від п’яти до дев’яти  місяців - 700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4" w:name="n81"/>
      <w:bookmarkEnd w:id="4"/>
      <w:r w:rsidRPr="0045182E">
        <w:rPr>
          <w:color w:val="000000"/>
          <w:sz w:val="28"/>
          <w:szCs w:val="28"/>
        </w:rPr>
        <w:t>у період утримання молодняка віком від дев’яти до тринадцяти місяців - 1500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5" w:name="n82"/>
      <w:bookmarkEnd w:id="5"/>
      <w:r w:rsidRPr="0045182E">
        <w:rPr>
          <w:color w:val="000000"/>
          <w:sz w:val="28"/>
          <w:szCs w:val="28"/>
        </w:rPr>
        <w:t>Дотація за молодняк, набутий шляхом його переміщення від інших власників, надається за кожні повні чотири місяці його утримання в такому господарстві від дати переміщення до досягнення ним тринадцятимісячного віку у розмірі:</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6" w:name="n83"/>
      <w:bookmarkEnd w:id="6"/>
      <w:r w:rsidRPr="0045182E">
        <w:rPr>
          <w:color w:val="000000"/>
          <w:sz w:val="28"/>
          <w:szCs w:val="28"/>
        </w:rPr>
        <w:t>за перші чотири місяці утримання молодняка - 300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7" w:name="n84"/>
      <w:bookmarkEnd w:id="7"/>
      <w:r w:rsidRPr="0045182E">
        <w:rPr>
          <w:color w:val="000000"/>
          <w:sz w:val="28"/>
          <w:szCs w:val="28"/>
        </w:rPr>
        <w:t>за наступні чотири місяці утримання молодняка - 700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8" w:name="n85"/>
      <w:bookmarkEnd w:id="8"/>
      <w:r w:rsidRPr="0045182E">
        <w:rPr>
          <w:color w:val="000000"/>
          <w:sz w:val="28"/>
          <w:szCs w:val="28"/>
        </w:rPr>
        <w:t>за наступні чотири місяці утримання молодняка - 1500 гривень за голову.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9" w:name="n86"/>
      <w:bookmarkEnd w:id="9"/>
      <w:r w:rsidRPr="0045182E">
        <w:rPr>
          <w:color w:val="000000"/>
          <w:sz w:val="28"/>
          <w:szCs w:val="28"/>
        </w:rPr>
        <w:t>Загальний обсяг дотації за молодняк не може перевищувати 2500 гривень із розрахунку на одну голову молодняка.</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0" w:name="n87"/>
      <w:bookmarkEnd w:id="10"/>
      <w:r w:rsidRPr="0045182E">
        <w:rPr>
          <w:color w:val="000000"/>
          <w:sz w:val="28"/>
          <w:szCs w:val="28"/>
        </w:rPr>
        <w:t>Для отримання дотації за молодняк фізичні особи подають за місцезнаходженням господарства до відповідної сільської, селищної, міської ради або ради об’єднаної територіальної громади (далі - органи місцевого самоврядування) копії таких документів:</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1" w:name="n88"/>
      <w:bookmarkEnd w:id="11"/>
      <w:r w:rsidRPr="0045182E">
        <w:rPr>
          <w:color w:val="000000"/>
          <w:sz w:val="28"/>
          <w:szCs w:val="28"/>
        </w:rPr>
        <w:t>паспортів великої рогатої худоби, виданих у встановленому порядку, а у разі утримання 10 і більше голів молодняка - виданий в установленому порядку витяг з Єдиного державного реєстру тварин;</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2" w:name="n89"/>
      <w:bookmarkEnd w:id="12"/>
      <w:r w:rsidRPr="0045182E">
        <w:rPr>
          <w:color w:val="000000"/>
          <w:sz w:val="28"/>
          <w:szCs w:val="28"/>
        </w:rPr>
        <w:t>паспорта громадянина України;</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3" w:name="n90"/>
      <w:bookmarkEnd w:id="13"/>
      <w:r w:rsidRPr="0045182E">
        <w:rPr>
          <w:color w:val="000000"/>
          <w:sz w:val="28"/>
          <w:szCs w:val="28"/>
        </w:rPr>
        <w:t>довідки або договору про відкриття рахунка в банку;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4" w:name="n91"/>
      <w:bookmarkEnd w:id="14"/>
      <w:r w:rsidRPr="0045182E">
        <w:rPr>
          <w:color w:val="000000"/>
          <w:sz w:val="28"/>
          <w:szCs w:val="28"/>
        </w:rPr>
        <w:lastRenderedPageBreak/>
        <w:t>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5" w:name="n92"/>
      <w:bookmarkEnd w:id="15"/>
      <w:r w:rsidRPr="0045182E">
        <w:rPr>
          <w:color w:val="000000"/>
          <w:sz w:val="28"/>
          <w:szCs w:val="28"/>
        </w:rPr>
        <w:t>Зазначені документи приймаються протягом бюджетного року до 1 травня, до 1 вересня і до 1 грудня поточного року в порядку черговості їх надходження, про що робиться запис у</w:t>
      </w:r>
      <w:r w:rsidRPr="0045182E">
        <w:rPr>
          <w:rStyle w:val="apple-converted-space"/>
          <w:color w:val="000000"/>
          <w:sz w:val="28"/>
          <w:szCs w:val="28"/>
        </w:rPr>
        <w:t> </w:t>
      </w:r>
      <w:hyperlink r:id="rId5" w:anchor="n13" w:tgtFrame="_blank" w:history="1">
        <w:r w:rsidRPr="0045182E">
          <w:rPr>
            <w:rStyle w:val="a3"/>
            <w:color w:val="000099"/>
            <w:sz w:val="28"/>
            <w:szCs w:val="28"/>
          </w:rPr>
          <w:t>журналі обліку фізичних осіб - власників тварин</w:t>
        </w:r>
      </w:hyperlink>
      <w:r w:rsidRPr="0045182E">
        <w:rPr>
          <w:color w:val="000000"/>
          <w:sz w:val="28"/>
          <w:szCs w:val="28"/>
        </w:rPr>
        <w:t>, форму якого встановлює Мінагрополітики.</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6" w:name="n93"/>
      <w:bookmarkEnd w:id="16"/>
      <w:r w:rsidRPr="0045182E">
        <w:rPr>
          <w:color w:val="000000"/>
          <w:sz w:val="28"/>
          <w:szCs w:val="28"/>
        </w:rPr>
        <w:t>Документи, що подаються для отримання дотації за молодняк, якому виповнилося 12 місяців у грудні попереднього року, приймаються до 1 квітня поточного року у разі наявності в господарстві населення такого молодняка на момент подання документів.</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7" w:name="n94"/>
      <w:bookmarkEnd w:id="17"/>
      <w:r w:rsidRPr="0045182E">
        <w:rPr>
          <w:color w:val="000000"/>
          <w:sz w:val="28"/>
          <w:szCs w:val="28"/>
        </w:rPr>
        <w:t>Датою переміщення молодняка вважається дата прибуття тварини в господарство нового власника, зазначена у паспорті великої рогатої худоби, засвідчена в установленому порядку та підтверджена інформацією, наданою Адміністратором Єдиного державного реєстру тварин.</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8" w:name="n95"/>
      <w:bookmarkEnd w:id="18"/>
      <w:r w:rsidRPr="0045182E">
        <w:rPr>
          <w:color w:val="000000"/>
          <w:sz w:val="28"/>
          <w:szCs w:val="28"/>
        </w:rPr>
        <w:t>У разі обміну та видачі нового паспорта великої рогатої худоби дата прибуття тварини в господарство підтверджується інформацією, наданою Адміністратором Єдиного державного реєстру тварин.</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19" w:name="n96"/>
      <w:bookmarkEnd w:id="19"/>
      <w:r w:rsidRPr="0045182E">
        <w:rPr>
          <w:color w:val="000000"/>
          <w:sz w:val="28"/>
          <w:szCs w:val="28"/>
        </w:rPr>
        <w:t>За запитом органу місцевого самоврядування Адміністратор Єдиного державного реєстру тварин у п’ятиденний строк надає інформацію про кількість ідентифікованого та зареєстрованого, а також переміщеного в установленому порядку поголів’я молодняка станом на дату отримання запиту у розрізі фізичних осіб - власників тварин.</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0" w:name="n97"/>
      <w:bookmarkEnd w:id="20"/>
      <w:r w:rsidRPr="0045182E">
        <w:rPr>
          <w:color w:val="000000"/>
          <w:sz w:val="28"/>
          <w:szCs w:val="28"/>
        </w:rPr>
        <w:t>Підставою для внесення до журналу обліку фізичних осіб - власників тварин є підтвердження наявності у господарстві заявленого фізичною особою поголів’я молодняка.</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1" w:name="n98"/>
      <w:bookmarkEnd w:id="21"/>
      <w:r w:rsidRPr="0045182E">
        <w:rPr>
          <w:color w:val="000000"/>
          <w:sz w:val="28"/>
          <w:szCs w:val="28"/>
        </w:rPr>
        <w:t>Органи місцевого самоврядування на підставі журналу обліку до 5 травня, до 5 вересня і до 5 грудня (станом на 1 грудня) складають</w:t>
      </w:r>
      <w:r w:rsidRPr="0045182E">
        <w:rPr>
          <w:rStyle w:val="apple-converted-space"/>
          <w:color w:val="000000"/>
          <w:sz w:val="28"/>
          <w:szCs w:val="28"/>
        </w:rPr>
        <w:t> </w:t>
      </w:r>
      <w:hyperlink r:id="rId6" w:anchor="n22" w:tgtFrame="_blank" w:history="1">
        <w:r w:rsidRPr="0045182E">
          <w:rPr>
            <w:rStyle w:val="a3"/>
            <w:color w:val="000099"/>
            <w:sz w:val="28"/>
            <w:szCs w:val="28"/>
          </w:rPr>
          <w:t>відомість</w:t>
        </w:r>
      </w:hyperlink>
      <w:r w:rsidRPr="0045182E">
        <w:rPr>
          <w:rStyle w:val="apple-converted-space"/>
          <w:color w:val="000000"/>
          <w:sz w:val="28"/>
          <w:szCs w:val="28"/>
        </w:rPr>
        <w:t> </w:t>
      </w:r>
      <w:r w:rsidRPr="0045182E">
        <w:rPr>
          <w:color w:val="000000"/>
          <w:sz w:val="28"/>
          <w:szCs w:val="28"/>
        </w:rPr>
        <w:t>фізичних осіб, які мають право на отримання дотації за молодняк, за формою, встановленою Мінагрополітики, і подають її структурним підрозділам облдержадміністрацій, що забезпечують виконання функцій з питань агропромислового розвитку.</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2" w:name="n99"/>
      <w:bookmarkEnd w:id="22"/>
      <w:r w:rsidRPr="0045182E">
        <w:rPr>
          <w:color w:val="000000"/>
          <w:sz w:val="28"/>
          <w:szCs w:val="28"/>
        </w:rPr>
        <w:t>Структурні підрозділи облдержадміністрацій, що забезпечують виконання функцій з питань агропромислового розвитку, узагальнюють протягом п’яти робочих днів зазначені у цьому пункті відомості та подають Мінагрополітики зведену відомість про нарахування сум дотацій за молодняк за встановленою ним формою.</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3" w:name="n100"/>
      <w:bookmarkEnd w:id="23"/>
      <w:r w:rsidRPr="0045182E">
        <w:rPr>
          <w:color w:val="000000"/>
          <w:sz w:val="28"/>
          <w:szCs w:val="28"/>
        </w:rPr>
        <w:t xml:space="preserve">Мінагрополітики протягом п’яти робочих днів узагальнює подані відповідно до цього пункту зведені відомості та на їх підставі затверджує </w:t>
      </w:r>
      <w:r w:rsidRPr="0045182E">
        <w:rPr>
          <w:color w:val="000000"/>
          <w:sz w:val="28"/>
          <w:szCs w:val="28"/>
        </w:rPr>
        <w:lastRenderedPageBreak/>
        <w:t>розподіл бюджетних коштів між розпорядниками бюджетних коштів нижчого рівня пропорційно нарахованим сумам дотації за молодняк у межах обсягу відкритих бюджетних асигнувань, інформує їх про прийняте рішення та спрямовує бюджетні кошти.</w:t>
      </w:r>
    </w:p>
    <w:p w:rsidR="0045182E" w:rsidRPr="0045182E" w:rsidRDefault="0045182E" w:rsidP="0045182E">
      <w:pPr>
        <w:pStyle w:val="rvps2"/>
        <w:shd w:val="clear" w:color="auto" w:fill="FFFFFF"/>
        <w:spacing w:before="0" w:beforeAutospacing="0" w:after="150" w:afterAutospacing="0"/>
        <w:ind w:firstLine="450"/>
        <w:jc w:val="both"/>
        <w:rPr>
          <w:color w:val="000000"/>
          <w:sz w:val="28"/>
          <w:szCs w:val="28"/>
        </w:rPr>
      </w:pPr>
      <w:bookmarkStart w:id="24" w:name="n101"/>
      <w:bookmarkEnd w:id="24"/>
      <w:r w:rsidRPr="0045182E">
        <w:rPr>
          <w:color w:val="000000"/>
          <w:sz w:val="28"/>
          <w:szCs w:val="28"/>
        </w:rPr>
        <w:t>На підставі рішення Мінагрополітики про розподіл бюджетних коштів розпорядники бюджетних коштів нижчого рівня здійснюють через банки розподіл бюджетних коштів між фізичними особами, яким нарахована дотація за молодняк, пропорційно нарахованим сумам та подають його органам Казначейства разом із платіжними дорученнями або переліком фізичних осіб, яким нараховано дотацію, що містить інформацію, необхідну для перерахування коштів на рахунки фізичних осіб, відкриті в банках.</w:t>
      </w:r>
    </w:p>
    <w:p w:rsidR="00AD0C83" w:rsidRDefault="00AD0C83"/>
    <w:sectPr w:rsidR="00AD0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E0"/>
    <w:rsid w:val="0030578C"/>
    <w:rsid w:val="0045182E"/>
    <w:rsid w:val="009E60E7"/>
    <w:rsid w:val="00AD0C83"/>
    <w:rsid w:val="00E352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518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5182E"/>
  </w:style>
  <w:style w:type="character" w:styleId="a3">
    <w:name w:val="Hyperlink"/>
    <w:basedOn w:val="a0"/>
    <w:uiPriority w:val="99"/>
    <w:semiHidden/>
    <w:unhideWhenUsed/>
    <w:rsid w:val="0045182E"/>
    <w:rPr>
      <w:color w:val="0000FF"/>
      <w:u w:val="single"/>
    </w:rPr>
  </w:style>
  <w:style w:type="paragraph" w:styleId="a4">
    <w:name w:val="No Spacing"/>
    <w:uiPriority w:val="1"/>
    <w:qFormat/>
    <w:rsid w:val="004518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518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5182E"/>
  </w:style>
  <w:style w:type="character" w:styleId="a3">
    <w:name w:val="Hyperlink"/>
    <w:basedOn w:val="a0"/>
    <w:uiPriority w:val="99"/>
    <w:semiHidden/>
    <w:unhideWhenUsed/>
    <w:rsid w:val="0045182E"/>
    <w:rPr>
      <w:color w:val="0000FF"/>
      <w:u w:val="single"/>
    </w:rPr>
  </w:style>
  <w:style w:type="paragraph" w:styleId="a4">
    <w:name w:val="No Spacing"/>
    <w:uiPriority w:val="1"/>
    <w:qFormat/>
    <w:rsid w:val="00451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0374-18" TargetMode="External"/><Relationship Id="rId5" Type="http://schemas.openxmlformats.org/officeDocument/2006/relationships/hyperlink" Target="https://zakon.rada.gov.ua/laws/show/z03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3478</Words>
  <Characters>1984</Characters>
  <Application>Microsoft Office Word</Application>
  <DocSecurity>0</DocSecurity>
  <Lines>16</Lines>
  <Paragraphs>10</Paragraphs>
  <ScaleCrop>false</ScaleCrop>
  <Company>SPecialiST RePack</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2019-03-13T12:43:00Z</dcterms:created>
  <dcterms:modified xsi:type="dcterms:W3CDTF">2019-03-13T12:47:00Z</dcterms:modified>
</cp:coreProperties>
</file>